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47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47294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Koob Kari</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DEMERS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ALERUS FINANCIAL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61"/>
        <w:spacing w:after="0"/>
        <w:rPr>
          <w:sz w:val="20"/>
          <w:szCs w:val="20"/>
          <w:color w:val="auto"/>
        </w:rPr>
      </w:pPr>
      <w:r>
        <w:rPr>
          <w:rFonts w:ascii="Times New Roman" w:cs="Times New Roman" w:eastAsia="Times New Roman" w:hAnsi="Times New Roman"/>
          <w:sz w:val="17"/>
          <w:szCs w:val="17"/>
          <w:color w:val="0000FF"/>
        </w:rPr>
        <w:t>SVP, Controller</w:t>
      </w:r>
    </w:p>
    <w:p>
      <w:pPr>
        <w:spacing w:after="0" w:line="328" w:lineRule="exact"/>
        <w:rPr>
          <w:sz w:val="24"/>
          <w:szCs w:val="24"/>
          <w:color w:val="auto"/>
        </w:rPr>
      </w:pPr>
    </w:p>
    <w:p>
      <w:pPr>
        <w:sectPr>
          <w:pgSz w:w="11900" w:h="16838" w:orient="portrait"/>
          <w:cols w:equalWidth="0" w:num="3">
            <w:col w:w="3180" w:space="720"/>
            <w:col w:w="3280" w:space="559"/>
            <w:col w:w="3341"/>
          </w:cols>
          <w:pgMar w:left="460" w:top="217" w:right="359" w:bottom="1440" w:gutter="0" w:footer="0" w:header="0"/>
          <w:type w:val="continuous"/>
        </w:sectPr>
      </w:pP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gridSpan w:val="7"/>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GRAND</w:t>
            </w:r>
          </w:p>
        </w:tc>
        <w:tc>
          <w:tcPr>
            <w:tcW w:w="17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ND</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58201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FORKS</w:t>
            </w:r>
          </w:p>
        </w:tc>
        <w:tc>
          <w:tcPr>
            <w:tcW w:w="17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1,298</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02/26/2026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w w:val="95"/>
              </w:rPr>
              <w:t>1,298</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Alerus Financial Corporation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519 restricted stock units that have time-based vesting components. Includes 779 restricted stock units that have performance-based vesting components.</w:t>
      </w:r>
    </w:p>
    <w:p>
      <w:pPr>
        <w:spacing w:after="0" w:line="43" w:lineRule="exact"/>
        <w:rPr>
          <w:rFonts w:ascii="Times New Roman" w:cs="Times New Roman" w:eastAsia="Times New Roman" w:hAnsi="Times New Roman"/>
          <w:sz w:val="13"/>
          <w:szCs w:val="13"/>
          <w:color w:val="008000"/>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time-based restricted stock units vest on February 26, 2029. The performance-based restricted stock units vest upon Alerus Financial Corporation Compensation Committee certification of certain relative cumulative EPS and ROE performance period goals, provided that such certification date occurs no later than March 15, 2029. The payout for performance-based restricted stock units could be increased to 150% of target or reduced to 0% based on achievement of the applicable metrics.</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Nicholas Brenckman,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9390" TargetMode="External"/><Relationship Id="rId14" Type="http://schemas.openxmlformats.org/officeDocument/2006/relationships/hyperlink" Target="http://www.sec.gov/cgi-bin/browse-edgar?action=getcompany&amp;CIK=00009034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2026-06-29T15:29:50Z</dcterms:created>
  <dcterms:modified xsi:type="dcterms:W3CDTF">2026-06-29T15:29:50Z</dcterms:modified>
</cp:coreProperties>
</file>